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D61" w:rsidRPr="000D7A6C" w:rsidRDefault="008E2D61" w:rsidP="000D7A6C">
      <w:pPr>
        <w:jc w:val="left"/>
        <w:rPr>
          <w:rFonts w:ascii="宋体" w:hAnsi="宋体" w:cs="宋体" w:hint="eastAsia"/>
          <w:b/>
          <w:sz w:val="28"/>
          <w:szCs w:val="28"/>
        </w:rPr>
      </w:pPr>
      <w:r w:rsidRPr="000D7A6C">
        <w:rPr>
          <w:rFonts w:ascii="宋体" w:hAnsi="宋体" w:cs="宋体" w:hint="eastAsia"/>
          <w:b/>
          <w:sz w:val="28"/>
          <w:szCs w:val="28"/>
        </w:rPr>
        <w:t>附件</w:t>
      </w:r>
      <w:r w:rsidR="000D7A6C">
        <w:rPr>
          <w:rFonts w:ascii="宋体" w:hAnsi="宋体" w:cs="宋体" w:hint="eastAsia"/>
          <w:b/>
          <w:sz w:val="28"/>
          <w:szCs w:val="28"/>
        </w:rPr>
        <w:t>：</w:t>
      </w:r>
    </w:p>
    <w:p w:rsidR="000D7A6C" w:rsidRDefault="008E2D61" w:rsidP="000D7A6C">
      <w:pPr>
        <w:jc w:val="center"/>
        <w:rPr>
          <w:rFonts w:ascii="华文中宋" w:eastAsia="华文中宋" w:hAnsi="华文中宋" w:cs="Times New Roman" w:hint="eastAsia"/>
          <w:sz w:val="36"/>
          <w:szCs w:val="36"/>
        </w:rPr>
      </w:pPr>
      <w:r w:rsidRPr="00F82997">
        <w:rPr>
          <w:rFonts w:ascii="华文中宋" w:eastAsia="华文中宋" w:hAnsi="华文中宋" w:cs="Times New Roman" w:hint="eastAsia"/>
          <w:sz w:val="36"/>
          <w:szCs w:val="36"/>
        </w:rPr>
        <w:t>一级房地产估价机构综合排名指标及权重表</w:t>
      </w:r>
    </w:p>
    <w:p w:rsidR="008E2D61" w:rsidRPr="000D7A6C" w:rsidRDefault="008E2D61" w:rsidP="000D7A6C">
      <w:pPr>
        <w:jc w:val="center"/>
        <w:rPr>
          <w:rFonts w:ascii="华文中宋" w:eastAsia="华文中宋" w:hAnsi="华文中宋" w:cs="Times New Roman"/>
          <w:sz w:val="36"/>
          <w:szCs w:val="36"/>
        </w:rPr>
      </w:pPr>
      <w:r w:rsidRPr="00831A2F">
        <w:rPr>
          <w:rFonts w:ascii="宋体" w:hAnsi="宋体" w:cs="宋体" w:hint="eastAsia"/>
          <w:b/>
          <w:sz w:val="28"/>
          <w:szCs w:val="28"/>
        </w:rPr>
        <w:t>（征求意见稿）</w:t>
      </w:r>
    </w:p>
    <w:p w:rsidR="008E2D61" w:rsidRPr="00AC10D7" w:rsidRDefault="008E2D61" w:rsidP="008E2D61">
      <w:pPr>
        <w:ind w:firstLineChars="200" w:firstLine="420"/>
      </w:pPr>
    </w:p>
    <w:tbl>
      <w:tblPr>
        <w:tblStyle w:val="a3"/>
        <w:tblW w:w="10641" w:type="dxa"/>
        <w:jc w:val="center"/>
        <w:tblLayout w:type="fixed"/>
        <w:tblLook w:val="0000"/>
      </w:tblPr>
      <w:tblGrid>
        <w:gridCol w:w="1399"/>
        <w:gridCol w:w="1445"/>
        <w:gridCol w:w="1957"/>
        <w:gridCol w:w="1440"/>
        <w:gridCol w:w="1417"/>
        <w:gridCol w:w="2983"/>
      </w:tblGrid>
      <w:tr w:rsidR="008E2D61" w:rsidRPr="00437D03" w:rsidTr="00FD509C">
        <w:trPr>
          <w:trHeight w:val="897"/>
          <w:jc w:val="center"/>
        </w:trPr>
        <w:tc>
          <w:tcPr>
            <w:tcW w:w="1399" w:type="dxa"/>
            <w:vAlign w:val="center"/>
          </w:tcPr>
          <w:p w:rsidR="008E2D61" w:rsidRPr="004656CF" w:rsidRDefault="008E2D61" w:rsidP="00FD509C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  <w:highlight w:val="yellow"/>
              </w:rPr>
            </w:pPr>
            <w:r w:rsidRPr="004656CF">
              <w:rPr>
                <w:rFonts w:ascii="宋体" w:hAnsi="宋体" w:cs="宋体" w:hint="eastAsia"/>
                <w:b/>
                <w:sz w:val="28"/>
                <w:szCs w:val="28"/>
              </w:rPr>
              <w:t>一级指标</w:t>
            </w:r>
          </w:p>
        </w:tc>
        <w:tc>
          <w:tcPr>
            <w:tcW w:w="1445" w:type="dxa"/>
            <w:vAlign w:val="center"/>
          </w:tcPr>
          <w:p w:rsidR="008E2D61" w:rsidRPr="004656CF" w:rsidRDefault="008E2D61" w:rsidP="00FD509C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  <w:highlight w:val="yellow"/>
              </w:rPr>
            </w:pPr>
            <w:r w:rsidRPr="004656CF">
              <w:rPr>
                <w:rFonts w:ascii="宋体" w:hAnsi="宋体" w:cs="宋体" w:hint="eastAsia"/>
                <w:b/>
                <w:sz w:val="28"/>
                <w:szCs w:val="28"/>
              </w:rPr>
              <w:t>二级指标</w:t>
            </w:r>
          </w:p>
        </w:tc>
        <w:tc>
          <w:tcPr>
            <w:tcW w:w="1957" w:type="dxa"/>
            <w:vAlign w:val="center"/>
          </w:tcPr>
          <w:p w:rsidR="008E2D61" w:rsidRPr="004656CF" w:rsidRDefault="008E2D61" w:rsidP="00FD509C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三级指标</w:t>
            </w:r>
          </w:p>
        </w:tc>
        <w:tc>
          <w:tcPr>
            <w:tcW w:w="1440" w:type="dxa"/>
            <w:vAlign w:val="center"/>
          </w:tcPr>
          <w:p w:rsidR="008E2D61" w:rsidRDefault="008E2D61" w:rsidP="00FD509C">
            <w:pPr>
              <w:tabs>
                <w:tab w:val="left" w:pos="592"/>
              </w:tabs>
              <w:spacing w:line="44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2019年</w:t>
            </w:r>
          </w:p>
          <w:p w:rsidR="008E2D61" w:rsidRDefault="008E2D61" w:rsidP="00FD509C">
            <w:pPr>
              <w:tabs>
                <w:tab w:val="left" w:pos="592"/>
              </w:tabs>
              <w:spacing w:line="44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权重</w:t>
            </w:r>
          </w:p>
        </w:tc>
        <w:tc>
          <w:tcPr>
            <w:tcW w:w="1417" w:type="dxa"/>
            <w:vAlign w:val="center"/>
          </w:tcPr>
          <w:p w:rsidR="008E2D61" w:rsidRDefault="008E2D61" w:rsidP="00FD509C">
            <w:pPr>
              <w:tabs>
                <w:tab w:val="left" w:pos="592"/>
              </w:tabs>
              <w:spacing w:line="44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2020年</w:t>
            </w:r>
          </w:p>
          <w:p w:rsidR="008E2D61" w:rsidRDefault="008E2D61" w:rsidP="00FD509C">
            <w:pPr>
              <w:tabs>
                <w:tab w:val="left" w:pos="592"/>
              </w:tabs>
              <w:spacing w:line="44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权重</w:t>
            </w:r>
          </w:p>
        </w:tc>
        <w:tc>
          <w:tcPr>
            <w:tcW w:w="2983" w:type="dxa"/>
            <w:vAlign w:val="center"/>
          </w:tcPr>
          <w:p w:rsidR="008E2D61" w:rsidRDefault="008E2D61" w:rsidP="00FD509C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评分标准*</w:t>
            </w:r>
          </w:p>
        </w:tc>
      </w:tr>
      <w:tr w:rsidR="008E2D61" w:rsidRPr="00437D03" w:rsidTr="00FD509C">
        <w:trPr>
          <w:trHeight w:val="630"/>
          <w:jc w:val="center"/>
        </w:trPr>
        <w:tc>
          <w:tcPr>
            <w:tcW w:w="1399" w:type="dxa"/>
            <w:vMerge w:val="restart"/>
            <w:vAlign w:val="center"/>
          </w:tcPr>
          <w:p w:rsidR="008E2D61" w:rsidRDefault="008E2D61" w:rsidP="00FD509C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经营业绩</w:t>
            </w:r>
          </w:p>
          <w:p w:rsidR="008E2D61" w:rsidRDefault="008E2D61" w:rsidP="00FD509C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（65%）</w:t>
            </w:r>
          </w:p>
          <w:p w:rsidR="008E2D61" w:rsidRPr="004640E9" w:rsidRDefault="008E2D61" w:rsidP="00FD509C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445" w:type="dxa"/>
            <w:vMerge w:val="restart"/>
            <w:vAlign w:val="center"/>
          </w:tcPr>
          <w:p w:rsidR="008E2D61" w:rsidRPr="00004E8C" w:rsidRDefault="008E2D61" w:rsidP="00FD509C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收入情况</w:t>
            </w:r>
          </w:p>
          <w:p w:rsidR="008E2D61" w:rsidRPr="004640E9" w:rsidRDefault="008E2D61" w:rsidP="00FD509C">
            <w:pPr>
              <w:spacing w:line="264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（40%）</w:t>
            </w:r>
          </w:p>
        </w:tc>
        <w:tc>
          <w:tcPr>
            <w:tcW w:w="1957" w:type="dxa"/>
            <w:vAlign w:val="center"/>
          </w:tcPr>
          <w:p w:rsidR="008E2D61" w:rsidRPr="004640E9" w:rsidRDefault="008E2D61" w:rsidP="00FD509C">
            <w:pPr>
              <w:spacing w:line="264" w:lineRule="auto"/>
              <w:jc w:val="center"/>
              <w:rPr>
                <w:rFonts w:ascii="宋体" w:hAnsi="宋体" w:cs="宋体"/>
                <w:szCs w:val="21"/>
              </w:rPr>
            </w:pPr>
            <w:r w:rsidRPr="004640E9">
              <w:rPr>
                <w:rFonts w:ascii="宋体" w:hAnsi="宋体" w:cs="宋体" w:hint="eastAsia"/>
                <w:szCs w:val="21"/>
              </w:rPr>
              <w:t>总营业收入</w:t>
            </w:r>
          </w:p>
        </w:tc>
        <w:tc>
          <w:tcPr>
            <w:tcW w:w="1440" w:type="dxa"/>
            <w:vAlign w:val="center"/>
          </w:tcPr>
          <w:p w:rsidR="008E2D61" w:rsidRPr="004640E9" w:rsidRDefault="008E2D61" w:rsidP="00FD509C">
            <w:pPr>
              <w:spacing w:line="264" w:lineRule="auto"/>
              <w:jc w:val="center"/>
              <w:rPr>
                <w:rFonts w:ascii="宋体" w:hAnsi="宋体" w:cs="宋体"/>
                <w:szCs w:val="21"/>
              </w:rPr>
            </w:pPr>
            <w:r w:rsidRPr="004640E9">
              <w:rPr>
                <w:rFonts w:ascii="宋体" w:hAnsi="宋体" w:cs="宋体" w:hint="eastAsia"/>
                <w:szCs w:val="21"/>
              </w:rPr>
              <w:t>20%</w:t>
            </w:r>
          </w:p>
        </w:tc>
        <w:tc>
          <w:tcPr>
            <w:tcW w:w="1417" w:type="dxa"/>
            <w:vAlign w:val="center"/>
          </w:tcPr>
          <w:p w:rsidR="008E2D61" w:rsidRPr="004640E9" w:rsidRDefault="008E2D61" w:rsidP="00FD509C">
            <w:pPr>
              <w:spacing w:line="264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  <w:r w:rsidRPr="004640E9">
              <w:rPr>
                <w:rFonts w:ascii="宋体" w:hAnsi="宋体" w:cs="宋体" w:hint="eastAsia"/>
                <w:szCs w:val="21"/>
              </w:rPr>
              <w:t>%</w:t>
            </w:r>
          </w:p>
        </w:tc>
        <w:tc>
          <w:tcPr>
            <w:tcW w:w="2983" w:type="dxa"/>
            <w:vAlign w:val="center"/>
          </w:tcPr>
          <w:p w:rsidR="008E2D61" w:rsidRDefault="008E2D61" w:rsidP="00FD509C">
            <w:pPr>
              <w:spacing w:line="264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----</w:t>
            </w:r>
          </w:p>
        </w:tc>
      </w:tr>
      <w:tr w:rsidR="008E2D61" w:rsidRPr="00437D03" w:rsidTr="00FD509C">
        <w:trPr>
          <w:trHeight w:val="614"/>
          <w:jc w:val="center"/>
        </w:trPr>
        <w:tc>
          <w:tcPr>
            <w:tcW w:w="1399" w:type="dxa"/>
            <w:vMerge/>
            <w:vAlign w:val="center"/>
          </w:tcPr>
          <w:p w:rsidR="008E2D61" w:rsidRPr="004640E9" w:rsidRDefault="008E2D61" w:rsidP="00FD509C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445" w:type="dxa"/>
            <w:vMerge/>
            <w:vAlign w:val="center"/>
          </w:tcPr>
          <w:p w:rsidR="008E2D61" w:rsidRPr="004640E9" w:rsidRDefault="008E2D61" w:rsidP="00FD509C">
            <w:pPr>
              <w:spacing w:line="264" w:lineRule="auto"/>
              <w:jc w:val="center"/>
              <w:rPr>
                <w:rFonts w:ascii="宋体" w:hAnsi="宋体" w:cs="宋体"/>
                <w:b/>
                <w:bCs/>
                <w:szCs w:val="21"/>
                <w:highlight w:val="yellow"/>
              </w:rPr>
            </w:pPr>
          </w:p>
        </w:tc>
        <w:tc>
          <w:tcPr>
            <w:tcW w:w="1957" w:type="dxa"/>
            <w:vAlign w:val="center"/>
          </w:tcPr>
          <w:p w:rsidR="008E2D61" w:rsidRDefault="008E2D61" w:rsidP="00FD509C">
            <w:pPr>
              <w:spacing w:line="264" w:lineRule="auto"/>
              <w:jc w:val="center"/>
              <w:rPr>
                <w:rFonts w:ascii="宋体" w:hAnsi="宋体" w:cs="宋体"/>
                <w:szCs w:val="21"/>
              </w:rPr>
            </w:pPr>
            <w:r w:rsidRPr="004640E9">
              <w:rPr>
                <w:rFonts w:ascii="宋体" w:hAnsi="宋体" w:cs="宋体" w:hint="eastAsia"/>
                <w:szCs w:val="21"/>
              </w:rPr>
              <w:t>房地产</w:t>
            </w:r>
            <w:r>
              <w:rPr>
                <w:rFonts w:ascii="宋体" w:hAnsi="宋体" w:cs="宋体" w:hint="eastAsia"/>
                <w:szCs w:val="21"/>
              </w:rPr>
              <w:t>估价</w:t>
            </w:r>
          </w:p>
          <w:p w:rsidR="008E2D61" w:rsidRPr="004640E9" w:rsidRDefault="008E2D61" w:rsidP="00FD509C">
            <w:pPr>
              <w:spacing w:line="264" w:lineRule="auto"/>
              <w:jc w:val="center"/>
              <w:rPr>
                <w:rFonts w:ascii="宋体" w:hAnsi="宋体" w:cs="宋体"/>
                <w:b/>
                <w:bCs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szCs w:val="21"/>
              </w:rPr>
              <w:t>业务</w:t>
            </w:r>
            <w:r w:rsidRPr="004640E9">
              <w:rPr>
                <w:rFonts w:ascii="宋体" w:hAnsi="宋体" w:cs="宋体" w:hint="eastAsia"/>
                <w:szCs w:val="21"/>
              </w:rPr>
              <w:t>收入</w:t>
            </w:r>
          </w:p>
        </w:tc>
        <w:tc>
          <w:tcPr>
            <w:tcW w:w="1440" w:type="dxa"/>
            <w:vAlign w:val="center"/>
          </w:tcPr>
          <w:p w:rsidR="008E2D61" w:rsidRPr="004640E9" w:rsidRDefault="008E2D61" w:rsidP="00FD509C">
            <w:pPr>
              <w:spacing w:line="264" w:lineRule="auto"/>
              <w:jc w:val="center"/>
              <w:rPr>
                <w:rFonts w:ascii="宋体" w:hAnsi="宋体" w:cs="宋体"/>
                <w:szCs w:val="21"/>
              </w:rPr>
            </w:pPr>
            <w:r w:rsidRPr="004640E9">
              <w:rPr>
                <w:rFonts w:ascii="宋体" w:hAnsi="宋体" w:cs="宋体" w:hint="eastAsia"/>
                <w:szCs w:val="21"/>
              </w:rPr>
              <w:t>25%</w:t>
            </w:r>
          </w:p>
        </w:tc>
        <w:tc>
          <w:tcPr>
            <w:tcW w:w="1417" w:type="dxa"/>
            <w:vAlign w:val="center"/>
          </w:tcPr>
          <w:p w:rsidR="008E2D61" w:rsidRPr="004640E9" w:rsidRDefault="008E2D61" w:rsidP="00FD509C">
            <w:pPr>
              <w:spacing w:line="264" w:lineRule="auto"/>
              <w:jc w:val="center"/>
              <w:rPr>
                <w:rFonts w:ascii="宋体" w:hAnsi="宋体" w:cs="宋体"/>
                <w:szCs w:val="21"/>
              </w:rPr>
            </w:pPr>
            <w:r w:rsidRPr="004640E9"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 w:rsidRPr="004640E9">
              <w:rPr>
                <w:rFonts w:ascii="宋体" w:hAnsi="宋体" w:cs="宋体" w:hint="eastAsia"/>
                <w:szCs w:val="21"/>
              </w:rPr>
              <w:t>%</w:t>
            </w:r>
          </w:p>
        </w:tc>
        <w:tc>
          <w:tcPr>
            <w:tcW w:w="2983" w:type="dxa"/>
            <w:vAlign w:val="center"/>
          </w:tcPr>
          <w:p w:rsidR="008E2D61" w:rsidRPr="004640E9" w:rsidRDefault="008E2D61" w:rsidP="00FD509C">
            <w:pPr>
              <w:spacing w:line="264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----</w:t>
            </w:r>
          </w:p>
        </w:tc>
      </w:tr>
      <w:tr w:rsidR="008E2D61" w:rsidRPr="00437D03" w:rsidTr="00FD509C">
        <w:trPr>
          <w:trHeight w:val="706"/>
          <w:jc w:val="center"/>
        </w:trPr>
        <w:tc>
          <w:tcPr>
            <w:tcW w:w="1399" w:type="dxa"/>
            <w:vMerge/>
            <w:vAlign w:val="center"/>
          </w:tcPr>
          <w:p w:rsidR="008E2D61" w:rsidRPr="004640E9" w:rsidRDefault="008E2D61" w:rsidP="00FD509C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445" w:type="dxa"/>
            <w:vMerge w:val="restart"/>
            <w:vAlign w:val="center"/>
          </w:tcPr>
          <w:p w:rsidR="008E2D61" w:rsidRPr="00004E8C" w:rsidRDefault="008E2D61" w:rsidP="00FD509C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评估规模</w:t>
            </w:r>
          </w:p>
          <w:p w:rsidR="008E2D61" w:rsidRPr="005A4479" w:rsidRDefault="008E2D61" w:rsidP="00FD509C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（25%）</w:t>
            </w:r>
          </w:p>
        </w:tc>
        <w:tc>
          <w:tcPr>
            <w:tcW w:w="1957" w:type="dxa"/>
            <w:vAlign w:val="center"/>
          </w:tcPr>
          <w:p w:rsidR="008E2D61" w:rsidRPr="004640E9" w:rsidRDefault="008E2D61" w:rsidP="00FD509C">
            <w:pPr>
              <w:spacing w:line="264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评估土地面积</w:t>
            </w:r>
          </w:p>
        </w:tc>
        <w:tc>
          <w:tcPr>
            <w:tcW w:w="1440" w:type="dxa"/>
            <w:vAlign w:val="center"/>
          </w:tcPr>
          <w:p w:rsidR="008E2D61" w:rsidRPr="004640E9" w:rsidRDefault="008E2D61" w:rsidP="00FD509C">
            <w:pPr>
              <w:spacing w:line="264" w:lineRule="auto"/>
              <w:jc w:val="center"/>
              <w:rPr>
                <w:rFonts w:ascii="宋体" w:hAnsi="宋体" w:cs="宋体"/>
                <w:szCs w:val="21"/>
              </w:rPr>
            </w:pPr>
            <w:r w:rsidRPr="004640E9">
              <w:rPr>
                <w:rFonts w:ascii="宋体" w:hAnsi="宋体" w:cs="宋体" w:hint="eastAsia"/>
                <w:szCs w:val="21"/>
              </w:rPr>
              <w:t>10%</w:t>
            </w:r>
          </w:p>
        </w:tc>
        <w:tc>
          <w:tcPr>
            <w:tcW w:w="1417" w:type="dxa"/>
            <w:vAlign w:val="center"/>
          </w:tcPr>
          <w:p w:rsidR="008E2D61" w:rsidRPr="004640E9" w:rsidRDefault="008E2D61" w:rsidP="00FD509C">
            <w:pPr>
              <w:spacing w:line="264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  <w:r w:rsidRPr="004640E9">
              <w:rPr>
                <w:rFonts w:ascii="宋体" w:hAnsi="宋体" w:cs="宋体" w:hint="eastAsia"/>
                <w:szCs w:val="21"/>
              </w:rPr>
              <w:t>%</w:t>
            </w:r>
          </w:p>
        </w:tc>
        <w:tc>
          <w:tcPr>
            <w:tcW w:w="2983" w:type="dxa"/>
            <w:vAlign w:val="center"/>
          </w:tcPr>
          <w:p w:rsidR="008E2D61" w:rsidRDefault="008E2D61" w:rsidP="00FD509C">
            <w:pPr>
              <w:spacing w:line="264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----</w:t>
            </w:r>
          </w:p>
        </w:tc>
      </w:tr>
      <w:tr w:rsidR="008E2D61" w:rsidRPr="00437D03" w:rsidTr="00FD509C">
        <w:trPr>
          <w:trHeight w:val="702"/>
          <w:jc w:val="center"/>
        </w:trPr>
        <w:tc>
          <w:tcPr>
            <w:tcW w:w="1399" w:type="dxa"/>
            <w:vMerge/>
            <w:vAlign w:val="center"/>
          </w:tcPr>
          <w:p w:rsidR="008E2D61" w:rsidRPr="004640E9" w:rsidRDefault="008E2D61" w:rsidP="00FD509C">
            <w:pPr>
              <w:jc w:val="center"/>
              <w:rPr>
                <w:rFonts w:ascii="宋体" w:hAnsi="宋体" w:cs="宋体"/>
                <w:b/>
                <w:bCs/>
                <w:szCs w:val="21"/>
                <w:highlight w:val="yellow"/>
              </w:rPr>
            </w:pPr>
          </w:p>
        </w:tc>
        <w:tc>
          <w:tcPr>
            <w:tcW w:w="1445" w:type="dxa"/>
            <w:vMerge/>
            <w:vAlign w:val="center"/>
          </w:tcPr>
          <w:p w:rsidR="008E2D61" w:rsidRPr="004640E9" w:rsidRDefault="008E2D61" w:rsidP="00FD509C">
            <w:pPr>
              <w:spacing w:line="264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Align w:val="center"/>
          </w:tcPr>
          <w:p w:rsidR="008E2D61" w:rsidRPr="004640E9" w:rsidRDefault="008E2D61" w:rsidP="00FD509C">
            <w:pPr>
              <w:spacing w:line="264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评估建筑物</w:t>
            </w:r>
            <w:r w:rsidRPr="004640E9">
              <w:rPr>
                <w:rFonts w:ascii="宋体" w:hAnsi="宋体" w:cs="宋体" w:hint="eastAsia"/>
                <w:szCs w:val="21"/>
              </w:rPr>
              <w:t>面积</w:t>
            </w:r>
          </w:p>
        </w:tc>
        <w:tc>
          <w:tcPr>
            <w:tcW w:w="1440" w:type="dxa"/>
            <w:vAlign w:val="center"/>
          </w:tcPr>
          <w:p w:rsidR="008E2D61" w:rsidRPr="004640E9" w:rsidRDefault="008E2D61" w:rsidP="00FD509C">
            <w:pPr>
              <w:spacing w:line="264" w:lineRule="auto"/>
              <w:jc w:val="center"/>
              <w:rPr>
                <w:rFonts w:ascii="宋体" w:hAnsi="宋体" w:cs="宋体"/>
                <w:szCs w:val="21"/>
              </w:rPr>
            </w:pPr>
            <w:r w:rsidRPr="004640E9">
              <w:rPr>
                <w:rFonts w:ascii="宋体" w:hAnsi="宋体" w:cs="宋体" w:hint="eastAsia"/>
                <w:szCs w:val="21"/>
              </w:rPr>
              <w:t>10%</w:t>
            </w:r>
          </w:p>
        </w:tc>
        <w:tc>
          <w:tcPr>
            <w:tcW w:w="1417" w:type="dxa"/>
            <w:vAlign w:val="center"/>
          </w:tcPr>
          <w:p w:rsidR="008E2D61" w:rsidRPr="004640E9" w:rsidRDefault="008E2D61" w:rsidP="00FD509C">
            <w:pPr>
              <w:spacing w:line="264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  <w:r w:rsidRPr="004640E9">
              <w:rPr>
                <w:rFonts w:ascii="宋体" w:hAnsi="宋体" w:cs="宋体" w:hint="eastAsia"/>
                <w:szCs w:val="21"/>
              </w:rPr>
              <w:t>%</w:t>
            </w:r>
          </w:p>
        </w:tc>
        <w:tc>
          <w:tcPr>
            <w:tcW w:w="2983" w:type="dxa"/>
            <w:vAlign w:val="center"/>
          </w:tcPr>
          <w:p w:rsidR="008E2D61" w:rsidRDefault="008E2D61" w:rsidP="00FD509C">
            <w:pPr>
              <w:spacing w:line="264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----</w:t>
            </w:r>
          </w:p>
        </w:tc>
      </w:tr>
      <w:tr w:rsidR="008E2D61" w:rsidRPr="00437D03" w:rsidTr="00FD509C">
        <w:trPr>
          <w:trHeight w:val="840"/>
          <w:jc w:val="center"/>
        </w:trPr>
        <w:tc>
          <w:tcPr>
            <w:tcW w:w="1399" w:type="dxa"/>
            <w:vMerge/>
            <w:vAlign w:val="center"/>
          </w:tcPr>
          <w:p w:rsidR="008E2D61" w:rsidRPr="004640E9" w:rsidRDefault="008E2D61" w:rsidP="00FD509C">
            <w:pPr>
              <w:jc w:val="center"/>
              <w:rPr>
                <w:rFonts w:ascii="宋体" w:hAnsi="宋体" w:cs="宋体"/>
                <w:b/>
                <w:bCs/>
                <w:szCs w:val="21"/>
                <w:highlight w:val="yellow"/>
              </w:rPr>
            </w:pPr>
          </w:p>
        </w:tc>
        <w:tc>
          <w:tcPr>
            <w:tcW w:w="1445" w:type="dxa"/>
            <w:vMerge/>
            <w:vAlign w:val="center"/>
          </w:tcPr>
          <w:p w:rsidR="008E2D61" w:rsidRPr="004640E9" w:rsidRDefault="008E2D61" w:rsidP="00FD509C">
            <w:pPr>
              <w:spacing w:line="264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57" w:type="dxa"/>
            <w:vAlign w:val="center"/>
          </w:tcPr>
          <w:p w:rsidR="008E2D61" w:rsidRPr="004640E9" w:rsidRDefault="008E2D61" w:rsidP="00FD509C">
            <w:pPr>
              <w:spacing w:line="264" w:lineRule="auto"/>
              <w:jc w:val="center"/>
              <w:rPr>
                <w:rFonts w:ascii="宋体" w:hAnsi="宋体" w:cs="宋体"/>
                <w:szCs w:val="21"/>
              </w:rPr>
            </w:pPr>
            <w:r w:rsidRPr="004640E9">
              <w:rPr>
                <w:rFonts w:ascii="宋体" w:hAnsi="宋体" w:cs="宋体" w:hint="eastAsia"/>
                <w:szCs w:val="21"/>
              </w:rPr>
              <w:t>评估总价值</w:t>
            </w:r>
          </w:p>
        </w:tc>
        <w:tc>
          <w:tcPr>
            <w:tcW w:w="1440" w:type="dxa"/>
            <w:vAlign w:val="center"/>
          </w:tcPr>
          <w:p w:rsidR="008E2D61" w:rsidRPr="004640E9" w:rsidRDefault="008E2D61" w:rsidP="00FD509C">
            <w:pPr>
              <w:spacing w:line="264" w:lineRule="auto"/>
              <w:jc w:val="center"/>
              <w:rPr>
                <w:rFonts w:ascii="宋体" w:hAnsi="宋体" w:cs="宋体"/>
                <w:szCs w:val="21"/>
              </w:rPr>
            </w:pPr>
            <w:r w:rsidRPr="004640E9">
              <w:rPr>
                <w:rFonts w:ascii="宋体" w:hAnsi="宋体" w:cs="宋体" w:hint="eastAsia"/>
                <w:szCs w:val="21"/>
              </w:rPr>
              <w:t>10%</w:t>
            </w:r>
          </w:p>
        </w:tc>
        <w:tc>
          <w:tcPr>
            <w:tcW w:w="1417" w:type="dxa"/>
            <w:vAlign w:val="center"/>
          </w:tcPr>
          <w:p w:rsidR="008E2D61" w:rsidRPr="004640E9" w:rsidRDefault="008E2D61" w:rsidP="00FD509C">
            <w:pPr>
              <w:spacing w:line="264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  <w:r w:rsidRPr="004640E9">
              <w:rPr>
                <w:rFonts w:ascii="宋体" w:hAnsi="宋体" w:cs="宋体" w:hint="eastAsia"/>
                <w:szCs w:val="21"/>
              </w:rPr>
              <w:t>%</w:t>
            </w:r>
          </w:p>
        </w:tc>
        <w:tc>
          <w:tcPr>
            <w:tcW w:w="2983" w:type="dxa"/>
            <w:vAlign w:val="center"/>
          </w:tcPr>
          <w:p w:rsidR="008E2D61" w:rsidRDefault="008E2D61" w:rsidP="00FD509C">
            <w:pPr>
              <w:spacing w:line="264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----</w:t>
            </w:r>
          </w:p>
        </w:tc>
      </w:tr>
      <w:tr w:rsidR="008E2D61" w:rsidRPr="00437D03" w:rsidTr="00FD509C">
        <w:trPr>
          <w:trHeight w:val="838"/>
          <w:jc w:val="center"/>
        </w:trPr>
        <w:tc>
          <w:tcPr>
            <w:tcW w:w="1399" w:type="dxa"/>
            <w:vMerge w:val="restart"/>
            <w:vAlign w:val="center"/>
          </w:tcPr>
          <w:p w:rsidR="008E2D61" w:rsidRDefault="008E2D61" w:rsidP="00FD509C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4640E9">
              <w:rPr>
                <w:rFonts w:ascii="宋体" w:hAnsi="宋体" w:cs="宋体" w:hint="eastAsia"/>
                <w:b/>
                <w:bCs/>
                <w:szCs w:val="21"/>
              </w:rPr>
              <w:t>人员情况</w:t>
            </w:r>
          </w:p>
          <w:p w:rsidR="008E2D61" w:rsidRPr="004640E9" w:rsidRDefault="008E2D61" w:rsidP="00FD509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（35%）</w:t>
            </w:r>
          </w:p>
        </w:tc>
        <w:tc>
          <w:tcPr>
            <w:tcW w:w="1445" w:type="dxa"/>
            <w:vAlign w:val="center"/>
          </w:tcPr>
          <w:p w:rsidR="008E2D61" w:rsidRDefault="008E2D61" w:rsidP="00FD509C">
            <w:pPr>
              <w:spacing w:line="264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注册房地产</w:t>
            </w:r>
          </w:p>
          <w:p w:rsidR="008E2D61" w:rsidRPr="004640E9" w:rsidRDefault="008E2D61" w:rsidP="00FD509C">
            <w:pPr>
              <w:spacing w:line="264" w:lineRule="auto"/>
              <w:jc w:val="center"/>
              <w:rPr>
                <w:rFonts w:ascii="宋体" w:hAnsi="宋体" w:cs="宋体"/>
                <w:szCs w:val="21"/>
              </w:rPr>
            </w:pPr>
            <w:r w:rsidRPr="004640E9">
              <w:rPr>
                <w:rFonts w:ascii="宋体" w:hAnsi="宋体" w:cs="宋体" w:hint="eastAsia"/>
                <w:szCs w:val="21"/>
              </w:rPr>
              <w:t>估价师人数</w:t>
            </w:r>
            <w:r>
              <w:rPr>
                <w:rFonts w:ascii="宋体" w:hAnsi="宋体" w:cs="宋体" w:hint="eastAsia"/>
                <w:szCs w:val="21"/>
              </w:rPr>
              <w:t>（20%）</w:t>
            </w:r>
          </w:p>
        </w:tc>
        <w:tc>
          <w:tcPr>
            <w:tcW w:w="1957" w:type="dxa"/>
            <w:vAlign w:val="center"/>
          </w:tcPr>
          <w:p w:rsidR="008E2D61" w:rsidRPr="004640E9" w:rsidRDefault="008E2D61" w:rsidP="00FD509C">
            <w:pPr>
              <w:spacing w:line="264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----</w:t>
            </w:r>
          </w:p>
        </w:tc>
        <w:tc>
          <w:tcPr>
            <w:tcW w:w="1440" w:type="dxa"/>
            <w:vAlign w:val="center"/>
          </w:tcPr>
          <w:p w:rsidR="008E2D61" w:rsidRPr="004640E9" w:rsidRDefault="008E2D61" w:rsidP="00FD509C">
            <w:pPr>
              <w:spacing w:line="312" w:lineRule="auto"/>
              <w:jc w:val="center"/>
              <w:rPr>
                <w:rFonts w:ascii="宋体" w:hAnsi="宋体" w:cs="宋体"/>
                <w:szCs w:val="21"/>
              </w:rPr>
            </w:pPr>
            <w:r w:rsidRPr="004640E9">
              <w:rPr>
                <w:rFonts w:ascii="宋体" w:hAnsi="宋体" w:cs="宋体" w:hint="eastAsia"/>
                <w:szCs w:val="21"/>
              </w:rPr>
              <w:t>25%</w:t>
            </w:r>
          </w:p>
        </w:tc>
        <w:tc>
          <w:tcPr>
            <w:tcW w:w="1417" w:type="dxa"/>
            <w:vAlign w:val="center"/>
          </w:tcPr>
          <w:p w:rsidR="008E2D61" w:rsidRPr="004640E9" w:rsidRDefault="008E2D61" w:rsidP="00FD509C">
            <w:pPr>
              <w:spacing w:line="312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</w:t>
            </w:r>
            <w:r w:rsidRPr="004640E9">
              <w:rPr>
                <w:rFonts w:ascii="宋体" w:hAnsi="宋体" w:cs="宋体" w:hint="eastAsia"/>
                <w:szCs w:val="21"/>
              </w:rPr>
              <w:t>%</w:t>
            </w:r>
          </w:p>
        </w:tc>
        <w:tc>
          <w:tcPr>
            <w:tcW w:w="2983" w:type="dxa"/>
            <w:vAlign w:val="center"/>
          </w:tcPr>
          <w:p w:rsidR="008E2D61" w:rsidRDefault="008E2D61" w:rsidP="00FD509C">
            <w:pPr>
              <w:spacing w:line="312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----</w:t>
            </w:r>
          </w:p>
        </w:tc>
      </w:tr>
      <w:tr w:rsidR="008E2D61" w:rsidRPr="00437D03" w:rsidTr="00FD509C">
        <w:trPr>
          <w:trHeight w:val="836"/>
          <w:jc w:val="center"/>
        </w:trPr>
        <w:tc>
          <w:tcPr>
            <w:tcW w:w="1399" w:type="dxa"/>
            <w:vMerge/>
            <w:vAlign w:val="center"/>
          </w:tcPr>
          <w:p w:rsidR="008E2D61" w:rsidRPr="004640E9" w:rsidRDefault="008E2D61" w:rsidP="00FD509C">
            <w:pPr>
              <w:jc w:val="center"/>
              <w:rPr>
                <w:rFonts w:ascii="宋体" w:hAnsi="宋体" w:cs="宋体"/>
                <w:b/>
                <w:bCs/>
                <w:szCs w:val="21"/>
                <w:highlight w:val="yellow"/>
              </w:rPr>
            </w:pPr>
          </w:p>
        </w:tc>
        <w:tc>
          <w:tcPr>
            <w:tcW w:w="1445" w:type="dxa"/>
            <w:vMerge w:val="restart"/>
            <w:vAlign w:val="center"/>
          </w:tcPr>
          <w:p w:rsidR="008E2D61" w:rsidRDefault="008E2D61" w:rsidP="00FD509C">
            <w:pPr>
              <w:spacing w:line="264" w:lineRule="auto"/>
              <w:jc w:val="center"/>
              <w:rPr>
                <w:rFonts w:ascii="宋体" w:hAnsi="宋体" w:cs="宋体"/>
                <w:szCs w:val="21"/>
              </w:rPr>
            </w:pPr>
            <w:r w:rsidRPr="004640E9">
              <w:rPr>
                <w:rFonts w:ascii="宋体" w:hAnsi="宋体" w:cs="宋体" w:hint="eastAsia"/>
                <w:szCs w:val="21"/>
              </w:rPr>
              <w:t>法定代表人情况</w:t>
            </w:r>
          </w:p>
          <w:p w:rsidR="008E2D61" w:rsidRPr="004640E9" w:rsidRDefault="008E2D61" w:rsidP="00FD509C">
            <w:pPr>
              <w:spacing w:line="264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（15%）</w:t>
            </w:r>
          </w:p>
        </w:tc>
        <w:tc>
          <w:tcPr>
            <w:tcW w:w="1957" w:type="dxa"/>
            <w:vAlign w:val="center"/>
          </w:tcPr>
          <w:p w:rsidR="008E2D61" w:rsidRDefault="008E2D61" w:rsidP="00FD509C">
            <w:pPr>
              <w:spacing w:line="264" w:lineRule="auto"/>
              <w:jc w:val="center"/>
              <w:rPr>
                <w:rFonts w:ascii="宋体" w:hAnsi="宋体" w:cs="宋体"/>
                <w:szCs w:val="21"/>
              </w:rPr>
            </w:pPr>
            <w:r w:rsidRPr="004640E9">
              <w:rPr>
                <w:rFonts w:ascii="宋体" w:hAnsi="宋体" w:cs="宋体" w:hint="eastAsia"/>
                <w:szCs w:val="21"/>
              </w:rPr>
              <w:t>法定代表人</w:t>
            </w:r>
          </w:p>
          <w:p w:rsidR="008E2D61" w:rsidRPr="004640E9" w:rsidRDefault="008E2D61" w:rsidP="00FD509C">
            <w:pPr>
              <w:spacing w:line="264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取得</w:t>
            </w:r>
            <w:r w:rsidRPr="004640E9">
              <w:rPr>
                <w:rFonts w:ascii="宋体" w:hAnsi="宋体" w:cs="宋体" w:hint="eastAsia"/>
                <w:szCs w:val="21"/>
              </w:rPr>
              <w:t>资格年限</w:t>
            </w:r>
          </w:p>
        </w:tc>
        <w:tc>
          <w:tcPr>
            <w:tcW w:w="1440" w:type="dxa"/>
            <w:vMerge w:val="restart"/>
            <w:vAlign w:val="center"/>
          </w:tcPr>
          <w:p w:rsidR="008E2D61" w:rsidRPr="004640E9" w:rsidRDefault="008E2D61" w:rsidP="00FD509C">
            <w:pPr>
              <w:spacing w:line="264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----</w:t>
            </w:r>
          </w:p>
        </w:tc>
        <w:tc>
          <w:tcPr>
            <w:tcW w:w="1417" w:type="dxa"/>
            <w:vAlign w:val="center"/>
          </w:tcPr>
          <w:p w:rsidR="008E2D61" w:rsidRPr="004640E9" w:rsidRDefault="008E2D61" w:rsidP="00FD509C">
            <w:pPr>
              <w:spacing w:line="264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  <w:r w:rsidRPr="004640E9">
              <w:rPr>
                <w:rFonts w:ascii="宋体" w:hAnsi="宋体" w:cs="宋体" w:hint="eastAsia"/>
                <w:szCs w:val="21"/>
              </w:rPr>
              <w:t>%</w:t>
            </w:r>
          </w:p>
        </w:tc>
        <w:tc>
          <w:tcPr>
            <w:tcW w:w="2983" w:type="dxa"/>
            <w:vAlign w:val="center"/>
          </w:tcPr>
          <w:p w:rsidR="008E2D61" w:rsidRPr="0054006A" w:rsidRDefault="008E2D61" w:rsidP="00FD509C">
            <w:pPr>
              <w:spacing w:line="264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06A">
              <w:rPr>
                <w:rFonts w:ascii="宋体" w:hAnsi="宋体" w:cs="宋体" w:hint="eastAsia"/>
                <w:sz w:val="18"/>
                <w:szCs w:val="18"/>
              </w:rPr>
              <w:t>取得</w:t>
            </w:r>
            <w:r>
              <w:rPr>
                <w:rFonts w:ascii="宋体" w:hAnsi="宋体" w:cs="宋体" w:hint="eastAsia"/>
                <w:sz w:val="18"/>
                <w:szCs w:val="18"/>
              </w:rPr>
              <w:t>房地产估价师</w:t>
            </w:r>
            <w:r w:rsidRPr="0054006A">
              <w:rPr>
                <w:rFonts w:ascii="宋体" w:hAnsi="宋体" w:cs="宋体" w:hint="eastAsia"/>
                <w:sz w:val="18"/>
                <w:szCs w:val="18"/>
              </w:rPr>
              <w:t>资格</w:t>
            </w:r>
            <w:r>
              <w:rPr>
                <w:rFonts w:ascii="宋体" w:hAnsi="宋体" w:cs="宋体" w:hint="eastAsia"/>
                <w:sz w:val="18"/>
                <w:szCs w:val="18"/>
              </w:rPr>
              <w:t>年限</w:t>
            </w:r>
            <w:r w:rsidRPr="0054006A">
              <w:rPr>
                <w:rFonts w:ascii="宋体" w:hAnsi="宋体" w:cs="宋体" w:hint="eastAsia"/>
                <w:sz w:val="18"/>
                <w:szCs w:val="18"/>
              </w:rPr>
              <w:t>每满1年，得5分，满20年得满分100分。</w:t>
            </w:r>
          </w:p>
        </w:tc>
      </w:tr>
      <w:tr w:rsidR="008E2D61" w:rsidRPr="00437D03" w:rsidTr="00FD509C">
        <w:trPr>
          <w:trHeight w:val="848"/>
          <w:jc w:val="center"/>
        </w:trPr>
        <w:tc>
          <w:tcPr>
            <w:tcW w:w="1399" w:type="dxa"/>
            <w:vMerge/>
            <w:vAlign w:val="center"/>
          </w:tcPr>
          <w:p w:rsidR="008E2D61" w:rsidRPr="004640E9" w:rsidRDefault="008E2D61" w:rsidP="00FD509C">
            <w:pPr>
              <w:jc w:val="center"/>
              <w:rPr>
                <w:rFonts w:ascii="宋体" w:hAnsi="宋体" w:cs="宋体"/>
                <w:b/>
                <w:bCs/>
                <w:szCs w:val="21"/>
                <w:highlight w:val="yellow"/>
              </w:rPr>
            </w:pPr>
          </w:p>
        </w:tc>
        <w:tc>
          <w:tcPr>
            <w:tcW w:w="1445" w:type="dxa"/>
            <w:vMerge/>
            <w:vAlign w:val="center"/>
          </w:tcPr>
          <w:p w:rsidR="008E2D61" w:rsidRPr="004640E9" w:rsidRDefault="008E2D61" w:rsidP="00FD509C">
            <w:pPr>
              <w:spacing w:line="264" w:lineRule="auto"/>
              <w:jc w:val="center"/>
              <w:rPr>
                <w:rFonts w:ascii="宋体" w:hAnsi="宋体" w:cs="宋体"/>
                <w:b/>
                <w:bCs/>
                <w:szCs w:val="21"/>
                <w:highlight w:val="yellow"/>
              </w:rPr>
            </w:pPr>
          </w:p>
        </w:tc>
        <w:tc>
          <w:tcPr>
            <w:tcW w:w="1957" w:type="dxa"/>
            <w:vAlign w:val="center"/>
          </w:tcPr>
          <w:p w:rsidR="008E2D61" w:rsidRDefault="008E2D61" w:rsidP="00FD509C">
            <w:pPr>
              <w:spacing w:line="264" w:lineRule="auto"/>
              <w:jc w:val="center"/>
              <w:rPr>
                <w:rFonts w:ascii="宋体" w:hAnsi="宋体" w:cs="宋体"/>
                <w:szCs w:val="21"/>
              </w:rPr>
            </w:pPr>
            <w:r w:rsidRPr="004640E9">
              <w:rPr>
                <w:rFonts w:ascii="宋体" w:hAnsi="宋体" w:cs="宋体" w:hint="eastAsia"/>
                <w:szCs w:val="21"/>
              </w:rPr>
              <w:t>法定代表人</w:t>
            </w:r>
          </w:p>
          <w:p w:rsidR="008E2D61" w:rsidRPr="004640E9" w:rsidRDefault="008E2D61" w:rsidP="00FD509C">
            <w:pPr>
              <w:spacing w:line="264" w:lineRule="auto"/>
              <w:jc w:val="center"/>
              <w:rPr>
                <w:rFonts w:ascii="宋体" w:hAnsi="宋体" w:cs="宋体"/>
                <w:b/>
                <w:bCs/>
                <w:szCs w:val="21"/>
                <w:highlight w:val="yellow"/>
              </w:rPr>
            </w:pPr>
            <w:r w:rsidRPr="004640E9">
              <w:rPr>
                <w:rFonts w:ascii="宋体" w:hAnsi="宋体" w:cs="宋体" w:hint="eastAsia"/>
                <w:szCs w:val="21"/>
              </w:rPr>
              <w:t>在执业单位的</w:t>
            </w:r>
            <w:r>
              <w:rPr>
                <w:rFonts w:ascii="宋体" w:hAnsi="宋体" w:cs="宋体" w:hint="eastAsia"/>
                <w:szCs w:val="21"/>
              </w:rPr>
              <w:t>注册</w:t>
            </w:r>
            <w:r w:rsidRPr="004640E9">
              <w:rPr>
                <w:rFonts w:ascii="宋体" w:hAnsi="宋体" w:cs="宋体" w:hint="eastAsia"/>
                <w:szCs w:val="21"/>
              </w:rPr>
              <w:t>年限</w:t>
            </w:r>
          </w:p>
        </w:tc>
        <w:tc>
          <w:tcPr>
            <w:tcW w:w="1440" w:type="dxa"/>
            <w:vMerge/>
            <w:vAlign w:val="center"/>
          </w:tcPr>
          <w:p w:rsidR="008E2D61" w:rsidRPr="004640E9" w:rsidRDefault="008E2D61" w:rsidP="00FD509C">
            <w:pPr>
              <w:spacing w:line="264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E2D61" w:rsidRPr="004640E9" w:rsidRDefault="008E2D61" w:rsidP="00FD509C">
            <w:pPr>
              <w:spacing w:line="264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  <w:r w:rsidRPr="004640E9">
              <w:rPr>
                <w:rFonts w:ascii="宋体" w:hAnsi="宋体" w:cs="宋体" w:hint="eastAsia"/>
                <w:szCs w:val="21"/>
              </w:rPr>
              <w:t>%</w:t>
            </w:r>
          </w:p>
        </w:tc>
        <w:tc>
          <w:tcPr>
            <w:tcW w:w="2983" w:type="dxa"/>
            <w:vAlign w:val="center"/>
          </w:tcPr>
          <w:p w:rsidR="008E2D61" w:rsidRPr="0054006A" w:rsidRDefault="008E2D61" w:rsidP="00FD509C">
            <w:pPr>
              <w:spacing w:line="264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4006A">
              <w:rPr>
                <w:rFonts w:ascii="宋体" w:hAnsi="宋体" w:cs="宋体" w:hint="eastAsia"/>
                <w:sz w:val="18"/>
                <w:szCs w:val="18"/>
              </w:rPr>
              <w:t>在</w:t>
            </w:r>
            <w:r>
              <w:rPr>
                <w:rFonts w:ascii="宋体" w:hAnsi="宋体" w:cs="宋体" w:hint="eastAsia"/>
                <w:sz w:val="18"/>
                <w:szCs w:val="18"/>
              </w:rPr>
              <w:t>现</w:t>
            </w:r>
            <w:r w:rsidRPr="0054006A">
              <w:rPr>
                <w:rFonts w:ascii="宋体" w:hAnsi="宋体" w:cs="宋体" w:hint="eastAsia"/>
                <w:sz w:val="18"/>
                <w:szCs w:val="18"/>
              </w:rPr>
              <w:t>执业单位注册年限每满1年得10分，满10年得满分100分。</w:t>
            </w:r>
          </w:p>
        </w:tc>
      </w:tr>
      <w:tr w:rsidR="008E2D61" w:rsidRPr="00437D03" w:rsidTr="00FD509C">
        <w:trPr>
          <w:trHeight w:val="988"/>
          <w:jc w:val="center"/>
        </w:trPr>
        <w:tc>
          <w:tcPr>
            <w:tcW w:w="1399" w:type="dxa"/>
            <w:vMerge/>
            <w:vAlign w:val="center"/>
          </w:tcPr>
          <w:p w:rsidR="008E2D61" w:rsidRPr="004640E9" w:rsidRDefault="008E2D61" w:rsidP="00FD509C">
            <w:pPr>
              <w:jc w:val="center"/>
              <w:rPr>
                <w:rFonts w:ascii="宋体" w:hAnsi="宋体" w:cs="宋体"/>
                <w:b/>
                <w:bCs/>
                <w:szCs w:val="21"/>
                <w:highlight w:val="yellow"/>
              </w:rPr>
            </w:pPr>
          </w:p>
        </w:tc>
        <w:tc>
          <w:tcPr>
            <w:tcW w:w="1445" w:type="dxa"/>
            <w:vMerge/>
            <w:vAlign w:val="center"/>
          </w:tcPr>
          <w:p w:rsidR="008E2D61" w:rsidRPr="004640E9" w:rsidRDefault="008E2D61" w:rsidP="00FD509C">
            <w:pPr>
              <w:spacing w:line="264" w:lineRule="auto"/>
              <w:jc w:val="center"/>
              <w:rPr>
                <w:rFonts w:ascii="宋体" w:hAnsi="宋体" w:cs="宋体"/>
                <w:szCs w:val="21"/>
                <w:highlight w:val="yellow"/>
              </w:rPr>
            </w:pPr>
          </w:p>
        </w:tc>
        <w:tc>
          <w:tcPr>
            <w:tcW w:w="1957" w:type="dxa"/>
            <w:vAlign w:val="center"/>
          </w:tcPr>
          <w:p w:rsidR="008E2D61" w:rsidRDefault="008E2D61" w:rsidP="00FD509C">
            <w:pPr>
              <w:spacing w:line="264" w:lineRule="auto"/>
              <w:jc w:val="center"/>
              <w:rPr>
                <w:rFonts w:ascii="宋体" w:hAnsi="宋体" w:cs="宋体"/>
                <w:szCs w:val="21"/>
              </w:rPr>
            </w:pPr>
            <w:r w:rsidRPr="004640E9">
              <w:rPr>
                <w:rFonts w:ascii="宋体" w:hAnsi="宋体" w:cs="宋体" w:hint="eastAsia"/>
                <w:szCs w:val="21"/>
              </w:rPr>
              <w:t>法定代表人</w:t>
            </w:r>
          </w:p>
          <w:p w:rsidR="008E2D61" w:rsidRPr="004640E9" w:rsidRDefault="008E2D61" w:rsidP="00FD509C">
            <w:pPr>
              <w:spacing w:line="264" w:lineRule="auto"/>
              <w:jc w:val="center"/>
              <w:rPr>
                <w:rFonts w:ascii="宋体" w:hAnsi="宋体" w:cs="宋体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szCs w:val="21"/>
              </w:rPr>
              <w:t>持股</w:t>
            </w:r>
            <w:r w:rsidRPr="004640E9">
              <w:rPr>
                <w:rFonts w:ascii="宋体" w:hAnsi="宋体" w:cs="宋体" w:hint="eastAsia"/>
                <w:szCs w:val="21"/>
              </w:rPr>
              <w:t>比例</w:t>
            </w:r>
            <w:r>
              <w:rPr>
                <w:rFonts w:ascii="宋体" w:hAnsi="宋体" w:cs="宋体" w:hint="eastAsia"/>
                <w:szCs w:val="21"/>
              </w:rPr>
              <w:t>排序</w:t>
            </w:r>
          </w:p>
        </w:tc>
        <w:tc>
          <w:tcPr>
            <w:tcW w:w="1440" w:type="dxa"/>
            <w:vMerge/>
            <w:vAlign w:val="center"/>
          </w:tcPr>
          <w:p w:rsidR="008E2D61" w:rsidRPr="004640E9" w:rsidRDefault="008E2D61" w:rsidP="00FD509C">
            <w:pPr>
              <w:spacing w:line="264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E2D61" w:rsidRPr="004640E9" w:rsidRDefault="008E2D61" w:rsidP="00FD509C">
            <w:pPr>
              <w:spacing w:line="264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  <w:r w:rsidRPr="004640E9">
              <w:rPr>
                <w:rFonts w:ascii="宋体" w:hAnsi="宋体" w:cs="宋体" w:hint="eastAsia"/>
                <w:szCs w:val="21"/>
              </w:rPr>
              <w:t>%</w:t>
            </w:r>
          </w:p>
        </w:tc>
        <w:tc>
          <w:tcPr>
            <w:tcW w:w="2983" w:type="dxa"/>
            <w:vAlign w:val="center"/>
          </w:tcPr>
          <w:p w:rsidR="008E2D61" w:rsidRDefault="008E2D61" w:rsidP="00FD509C">
            <w:pPr>
              <w:spacing w:line="264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法定代表人为机构</w:t>
            </w:r>
            <w:r w:rsidRPr="002F43AA">
              <w:rPr>
                <w:rFonts w:ascii="宋体" w:hAnsi="宋体" w:cs="宋体" w:hint="eastAsia"/>
                <w:sz w:val="18"/>
                <w:szCs w:val="18"/>
              </w:rPr>
              <w:t>第一股东得100分；第二股东得80分；第三股东得60分；第四股东得40分；第五</w:t>
            </w:r>
            <w:r>
              <w:rPr>
                <w:rFonts w:ascii="宋体" w:hAnsi="宋体" w:cs="宋体" w:hint="eastAsia"/>
                <w:sz w:val="18"/>
                <w:szCs w:val="18"/>
              </w:rPr>
              <w:t>股东</w:t>
            </w:r>
            <w:r w:rsidRPr="002F43AA">
              <w:rPr>
                <w:rFonts w:ascii="宋体" w:hAnsi="宋体" w:cs="宋体" w:hint="eastAsia"/>
                <w:sz w:val="18"/>
                <w:szCs w:val="18"/>
              </w:rPr>
              <w:t>及以下得20分；没有股份得0分</w:t>
            </w:r>
            <w:r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</w:tc>
      </w:tr>
      <w:tr w:rsidR="008E2D61" w:rsidRPr="00437D03" w:rsidTr="00FD509C">
        <w:trPr>
          <w:trHeight w:val="673"/>
          <w:jc w:val="center"/>
        </w:trPr>
        <w:tc>
          <w:tcPr>
            <w:tcW w:w="1399" w:type="dxa"/>
            <w:vAlign w:val="center"/>
          </w:tcPr>
          <w:p w:rsidR="008E2D61" w:rsidRPr="004640E9" w:rsidRDefault="008E2D61" w:rsidP="00FD509C">
            <w:pPr>
              <w:jc w:val="center"/>
              <w:rPr>
                <w:rFonts w:ascii="宋体" w:hAnsi="宋体" w:cs="宋体"/>
                <w:b/>
                <w:bCs/>
                <w:szCs w:val="21"/>
                <w:highlight w:val="yellow"/>
              </w:rPr>
            </w:pPr>
            <w:r w:rsidRPr="00A97D53">
              <w:rPr>
                <w:rFonts w:ascii="宋体" w:hAnsi="宋体" w:cs="宋体" w:hint="eastAsia"/>
                <w:b/>
                <w:bCs/>
                <w:szCs w:val="21"/>
              </w:rPr>
              <w:t>不良行为</w:t>
            </w:r>
          </w:p>
        </w:tc>
        <w:tc>
          <w:tcPr>
            <w:tcW w:w="9242" w:type="dxa"/>
            <w:gridSpan w:val="5"/>
            <w:vAlign w:val="center"/>
          </w:tcPr>
          <w:p w:rsidR="008E2D61" w:rsidRDefault="008E2D61" w:rsidP="00FD509C">
            <w:pPr>
              <w:spacing w:line="264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根据信用档案系统记载，近3年每有一条</w:t>
            </w:r>
            <w:r w:rsidRPr="00A97D53">
              <w:rPr>
                <w:rFonts w:ascii="宋体" w:hAnsi="宋体" w:cs="宋体" w:hint="eastAsia"/>
                <w:szCs w:val="21"/>
              </w:rPr>
              <w:t>不良记录，综合</w:t>
            </w:r>
            <w:r>
              <w:rPr>
                <w:rFonts w:ascii="宋体" w:hAnsi="宋体" w:cs="宋体" w:hint="eastAsia"/>
                <w:szCs w:val="21"/>
              </w:rPr>
              <w:t>得分扣5分。</w:t>
            </w:r>
          </w:p>
        </w:tc>
      </w:tr>
    </w:tbl>
    <w:p w:rsidR="008E2D61" w:rsidRDefault="008E2D61" w:rsidP="008E2D61"/>
    <w:p w:rsidR="00A13409" w:rsidRPr="008E2D61" w:rsidRDefault="008E2D61" w:rsidP="008E2D61">
      <w:pPr>
        <w:spacing w:line="300" w:lineRule="auto"/>
        <w:ind w:firstLineChars="200" w:firstLine="420"/>
        <w:rPr>
          <w:szCs w:val="21"/>
        </w:rPr>
      </w:pPr>
      <w:r w:rsidRPr="009A5361">
        <w:rPr>
          <w:rFonts w:hint="eastAsia"/>
          <w:szCs w:val="21"/>
        </w:rPr>
        <w:t>*</w:t>
      </w:r>
      <w:r w:rsidRPr="00D86E28">
        <w:rPr>
          <w:rFonts w:hint="eastAsia"/>
          <w:szCs w:val="21"/>
        </w:rPr>
        <w:t>说明：对总营业收入、房地产估价业务收入、评估建筑面积、评估土地面积、评估总价值、注册房地产估价师人数、法定代表人取得房地产估价师资格年限、法定代表人在执业单位的年限、法定代表人</w:t>
      </w:r>
      <w:r>
        <w:rPr>
          <w:rFonts w:ascii="宋体" w:hAnsi="宋体" w:cs="宋体" w:hint="eastAsia"/>
          <w:szCs w:val="21"/>
        </w:rPr>
        <w:t>持股</w:t>
      </w:r>
      <w:r w:rsidRPr="004640E9">
        <w:rPr>
          <w:rFonts w:ascii="宋体" w:hAnsi="宋体" w:cs="宋体" w:hint="eastAsia"/>
          <w:szCs w:val="21"/>
        </w:rPr>
        <w:t>比例</w:t>
      </w:r>
      <w:r>
        <w:rPr>
          <w:rFonts w:ascii="宋体" w:hAnsi="宋体" w:cs="宋体" w:hint="eastAsia"/>
          <w:szCs w:val="21"/>
        </w:rPr>
        <w:t>排序</w:t>
      </w:r>
      <w:r w:rsidRPr="00D86E28">
        <w:rPr>
          <w:rFonts w:hint="eastAsia"/>
          <w:szCs w:val="21"/>
        </w:rPr>
        <w:t>等</w:t>
      </w:r>
      <w:r w:rsidRPr="00D86E28">
        <w:rPr>
          <w:rFonts w:hint="eastAsia"/>
          <w:szCs w:val="21"/>
        </w:rPr>
        <w:t>9</w:t>
      </w:r>
      <w:r w:rsidRPr="00D86E28">
        <w:rPr>
          <w:rFonts w:hint="eastAsia"/>
          <w:szCs w:val="21"/>
        </w:rPr>
        <w:t>个指标值</w:t>
      </w:r>
      <w:r>
        <w:rPr>
          <w:rFonts w:hint="eastAsia"/>
          <w:szCs w:val="21"/>
        </w:rPr>
        <w:t>（前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个指标的指标值为实际数值，后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个指标为评分后的指标值）</w:t>
      </w:r>
      <w:r w:rsidRPr="00D86E28">
        <w:rPr>
          <w:rFonts w:hint="eastAsia"/>
          <w:szCs w:val="21"/>
        </w:rPr>
        <w:t>进行离差标准化</w:t>
      </w:r>
      <w:r>
        <w:rPr>
          <w:rFonts w:hint="eastAsia"/>
          <w:szCs w:val="21"/>
        </w:rPr>
        <w:t>，</w:t>
      </w:r>
      <w:r w:rsidRPr="00D86E28">
        <w:rPr>
          <w:rFonts w:hint="eastAsia"/>
          <w:szCs w:val="21"/>
        </w:rPr>
        <w:t>将标准化后的数值依次取各自权重</w:t>
      </w:r>
      <w:proofErr w:type="gramStart"/>
      <w:r w:rsidRPr="00D86E28">
        <w:rPr>
          <w:rFonts w:hint="eastAsia"/>
          <w:szCs w:val="21"/>
        </w:rPr>
        <w:t>加总</w:t>
      </w:r>
      <w:r>
        <w:rPr>
          <w:rFonts w:hint="eastAsia"/>
          <w:szCs w:val="21"/>
        </w:rPr>
        <w:t>并减去</w:t>
      </w:r>
      <w:proofErr w:type="gramEnd"/>
      <w:r>
        <w:rPr>
          <w:rFonts w:hint="eastAsia"/>
          <w:szCs w:val="21"/>
        </w:rPr>
        <w:t>不良行为扣分后</w:t>
      </w:r>
      <w:r w:rsidRPr="00D86E28">
        <w:rPr>
          <w:rFonts w:hint="eastAsia"/>
          <w:szCs w:val="21"/>
        </w:rPr>
        <w:t>得到综合评价值，然后从高到低排序。</w:t>
      </w:r>
    </w:p>
    <w:sectPr w:rsidR="00A13409" w:rsidRPr="008E2D61" w:rsidSect="00147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2D61"/>
    <w:rsid w:val="000D7A6C"/>
    <w:rsid w:val="008E2D61"/>
    <w:rsid w:val="00A13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D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D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zp</cp:lastModifiedBy>
  <cp:revision>1</cp:revision>
  <dcterms:created xsi:type="dcterms:W3CDTF">2021-02-04T00:50:00Z</dcterms:created>
  <dcterms:modified xsi:type="dcterms:W3CDTF">2021-02-04T00:53:00Z</dcterms:modified>
</cp:coreProperties>
</file>